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color w:val="B10000"/>
          <w:sz w:val="36"/>
          <w:szCs w:val="36"/>
        </w:rPr>
      </w:pPr>
      <w:r>
        <w:rPr>
          <w:color w:val="B10000"/>
          <w:sz w:val="36"/>
          <w:szCs w:val="36"/>
          <w:bdr w:val="none" w:color="auto" w:sz="0" w:space="0"/>
          <w:shd w:val="clear" w:fill="FFFFFF"/>
        </w:rPr>
        <w:t>江苏通报六起违反中央八项规定精神典型问题</w:t>
      </w:r>
    </w:p>
    <w:p>
      <w:pPr>
        <w:pStyle w:val="3"/>
        <w:keepNext w:val="0"/>
        <w:keepLines w:val="0"/>
        <w:widowControl/>
        <w:suppressLineNumbers w:val="0"/>
        <w:spacing w:before="196" w:beforeAutospacing="0" w:after="0" w:afterAutospacing="0"/>
        <w:ind w:left="0" w:right="0"/>
        <w:jc w:val="center"/>
      </w:pPr>
      <w:r>
        <w:rPr>
          <w:rFonts w:ascii="微软雅黑" w:hAnsi="微软雅黑" w:eastAsia="微软雅黑" w:cs="微软雅黑"/>
          <w:i w:val="0"/>
          <w:color w:val="868686"/>
          <w:sz w:val="24"/>
          <w:szCs w:val="24"/>
          <w:shd w:val="clear" w:fill="FFFFFF"/>
        </w:rPr>
        <w:t>发布日期：2018-09-29</w:t>
      </w:r>
      <w:r>
        <w:rPr>
          <w:rFonts w:hint="eastAsia" w:ascii="微软雅黑" w:hAnsi="微软雅黑" w:eastAsia="微软雅黑" w:cs="微软雅黑"/>
          <w:i w:val="0"/>
          <w:color w:val="868686"/>
          <w:sz w:val="24"/>
          <w:szCs w:val="24"/>
          <w:shd w:val="clear" w:fill="FFFFFF"/>
        </w:rPr>
        <w:t xml:space="preserve">信息来源：清风扬帆网字号：[ </w:t>
      </w:r>
      <w:r>
        <w:rPr>
          <w:rFonts w:hint="eastAsia" w:ascii="微软雅黑" w:hAnsi="微软雅黑" w:eastAsia="微软雅黑" w:cs="微软雅黑"/>
          <w:i w:val="0"/>
          <w:color w:val="000000"/>
          <w:sz w:val="24"/>
          <w:szCs w:val="24"/>
          <w:u w:val="none"/>
          <w:shd w:val="clear" w:fill="FFFFFF"/>
        </w:rPr>
        <w:fldChar w:fldCharType="begin"/>
      </w:r>
      <w:r>
        <w:rPr>
          <w:rFonts w:hint="eastAsia" w:ascii="微软雅黑" w:hAnsi="微软雅黑" w:eastAsia="微软雅黑" w:cs="微软雅黑"/>
          <w:i w:val="0"/>
          <w:color w:val="000000"/>
          <w:sz w:val="24"/>
          <w:szCs w:val="24"/>
          <w:u w:val="none"/>
          <w:shd w:val="clear" w:fill="FFFFFF"/>
        </w:rPr>
        <w:instrText xml:space="preserve"> HYPERLINK "http://www.jssjw.gov.cn/art/2018/9/29/javascript:doZoom(16)" </w:instrText>
      </w:r>
      <w:r>
        <w:rPr>
          <w:rFonts w:hint="eastAsia" w:ascii="微软雅黑" w:hAnsi="微软雅黑" w:eastAsia="微软雅黑" w:cs="微软雅黑"/>
          <w:i w:val="0"/>
          <w:color w:val="000000"/>
          <w:sz w:val="24"/>
          <w:szCs w:val="24"/>
          <w:u w:val="none"/>
          <w:shd w:val="clear" w:fill="FFFFFF"/>
        </w:rPr>
        <w:fldChar w:fldCharType="separate"/>
      </w:r>
      <w:r>
        <w:rPr>
          <w:rStyle w:val="10"/>
          <w:rFonts w:hint="eastAsia" w:ascii="微软雅黑" w:hAnsi="微软雅黑" w:eastAsia="微软雅黑" w:cs="微软雅黑"/>
          <w:i w:val="0"/>
          <w:color w:val="000000"/>
          <w:sz w:val="24"/>
          <w:szCs w:val="24"/>
          <w:u w:val="none"/>
          <w:shd w:val="clear" w:fill="FFFFFF"/>
        </w:rPr>
        <w:t>大</w:t>
      </w:r>
      <w:r>
        <w:rPr>
          <w:rFonts w:hint="eastAsia" w:ascii="微软雅黑" w:hAnsi="微软雅黑" w:eastAsia="微软雅黑" w:cs="微软雅黑"/>
          <w:i w:val="0"/>
          <w:color w:val="000000"/>
          <w:sz w:val="24"/>
          <w:szCs w:val="24"/>
          <w:u w:val="none"/>
          <w:shd w:val="clear" w:fill="FFFFFF"/>
        </w:rPr>
        <w:fldChar w:fldCharType="end"/>
      </w:r>
      <w:r>
        <w:rPr>
          <w:rFonts w:hint="eastAsia" w:ascii="微软雅黑" w:hAnsi="微软雅黑" w:eastAsia="微软雅黑" w:cs="微软雅黑"/>
          <w:i w:val="0"/>
          <w:color w:val="868686"/>
          <w:sz w:val="24"/>
          <w:szCs w:val="24"/>
          <w:shd w:val="clear" w:fill="FFFFFF"/>
        </w:rPr>
        <w:t xml:space="preserve"> </w:t>
      </w:r>
      <w:r>
        <w:rPr>
          <w:rFonts w:hint="eastAsia" w:ascii="微软雅黑" w:hAnsi="微软雅黑" w:eastAsia="微软雅黑" w:cs="微软雅黑"/>
          <w:i w:val="0"/>
          <w:color w:val="000000"/>
          <w:sz w:val="24"/>
          <w:szCs w:val="24"/>
          <w:u w:val="none"/>
          <w:shd w:val="clear" w:fill="FFFFFF"/>
        </w:rPr>
        <w:fldChar w:fldCharType="begin"/>
      </w:r>
      <w:r>
        <w:rPr>
          <w:rFonts w:hint="eastAsia" w:ascii="微软雅黑" w:hAnsi="微软雅黑" w:eastAsia="微软雅黑" w:cs="微软雅黑"/>
          <w:i w:val="0"/>
          <w:color w:val="000000"/>
          <w:sz w:val="24"/>
          <w:szCs w:val="24"/>
          <w:u w:val="none"/>
          <w:shd w:val="clear" w:fill="FFFFFF"/>
        </w:rPr>
        <w:instrText xml:space="preserve"> HYPERLINK "http://www.jssjw.gov.cn/art/2018/9/29/javascript:doZoom(14)" </w:instrText>
      </w:r>
      <w:r>
        <w:rPr>
          <w:rFonts w:hint="eastAsia" w:ascii="微软雅黑" w:hAnsi="微软雅黑" w:eastAsia="微软雅黑" w:cs="微软雅黑"/>
          <w:i w:val="0"/>
          <w:color w:val="000000"/>
          <w:sz w:val="24"/>
          <w:szCs w:val="24"/>
          <w:u w:val="none"/>
          <w:shd w:val="clear" w:fill="FFFFFF"/>
        </w:rPr>
        <w:fldChar w:fldCharType="separate"/>
      </w:r>
      <w:r>
        <w:rPr>
          <w:rStyle w:val="10"/>
          <w:rFonts w:hint="eastAsia" w:ascii="微软雅黑" w:hAnsi="微软雅黑" w:eastAsia="微软雅黑" w:cs="微软雅黑"/>
          <w:i w:val="0"/>
          <w:color w:val="000000"/>
          <w:sz w:val="24"/>
          <w:szCs w:val="24"/>
          <w:u w:val="none"/>
          <w:shd w:val="clear" w:fill="FFFFFF"/>
        </w:rPr>
        <w:t>中</w:t>
      </w:r>
      <w:r>
        <w:rPr>
          <w:rFonts w:hint="eastAsia" w:ascii="微软雅黑" w:hAnsi="微软雅黑" w:eastAsia="微软雅黑" w:cs="微软雅黑"/>
          <w:i w:val="0"/>
          <w:color w:val="000000"/>
          <w:sz w:val="24"/>
          <w:szCs w:val="24"/>
          <w:u w:val="none"/>
          <w:shd w:val="clear" w:fill="FFFFFF"/>
        </w:rPr>
        <w:fldChar w:fldCharType="end"/>
      </w:r>
      <w:r>
        <w:rPr>
          <w:rFonts w:hint="eastAsia" w:ascii="微软雅黑" w:hAnsi="微软雅黑" w:eastAsia="微软雅黑" w:cs="微软雅黑"/>
          <w:i w:val="0"/>
          <w:color w:val="868686"/>
          <w:sz w:val="24"/>
          <w:szCs w:val="24"/>
          <w:shd w:val="clear" w:fill="FFFFFF"/>
        </w:rPr>
        <w:t xml:space="preserve"> </w:t>
      </w:r>
      <w:r>
        <w:rPr>
          <w:rFonts w:hint="eastAsia" w:ascii="微软雅黑" w:hAnsi="微软雅黑" w:eastAsia="微软雅黑" w:cs="微软雅黑"/>
          <w:i w:val="0"/>
          <w:color w:val="000000"/>
          <w:sz w:val="24"/>
          <w:szCs w:val="24"/>
          <w:u w:val="none"/>
          <w:shd w:val="clear" w:fill="FFFFFF"/>
        </w:rPr>
        <w:fldChar w:fldCharType="begin"/>
      </w:r>
      <w:r>
        <w:rPr>
          <w:rFonts w:hint="eastAsia" w:ascii="微软雅黑" w:hAnsi="微软雅黑" w:eastAsia="微软雅黑" w:cs="微软雅黑"/>
          <w:i w:val="0"/>
          <w:color w:val="000000"/>
          <w:sz w:val="24"/>
          <w:szCs w:val="24"/>
          <w:u w:val="none"/>
          <w:shd w:val="clear" w:fill="FFFFFF"/>
        </w:rPr>
        <w:instrText xml:space="preserve"> HYPERLINK "http://www.jssjw.gov.cn/art/2018/9/29/javascript:doZoom(12)" </w:instrText>
      </w:r>
      <w:r>
        <w:rPr>
          <w:rFonts w:hint="eastAsia" w:ascii="微软雅黑" w:hAnsi="微软雅黑" w:eastAsia="微软雅黑" w:cs="微软雅黑"/>
          <w:i w:val="0"/>
          <w:color w:val="000000"/>
          <w:sz w:val="24"/>
          <w:szCs w:val="24"/>
          <w:u w:val="none"/>
          <w:shd w:val="clear" w:fill="FFFFFF"/>
        </w:rPr>
        <w:fldChar w:fldCharType="separate"/>
      </w:r>
      <w:r>
        <w:rPr>
          <w:rStyle w:val="10"/>
          <w:rFonts w:hint="eastAsia" w:ascii="微软雅黑" w:hAnsi="微软雅黑" w:eastAsia="微软雅黑" w:cs="微软雅黑"/>
          <w:i w:val="0"/>
          <w:color w:val="000000"/>
          <w:sz w:val="24"/>
          <w:szCs w:val="24"/>
          <w:u w:val="none"/>
          <w:shd w:val="clear" w:fill="FFFFFF"/>
        </w:rPr>
        <w:t>小</w:t>
      </w:r>
      <w:r>
        <w:rPr>
          <w:rFonts w:hint="eastAsia" w:ascii="微软雅黑" w:hAnsi="微软雅黑" w:eastAsia="微软雅黑" w:cs="微软雅黑"/>
          <w:i w:val="0"/>
          <w:color w:val="000000"/>
          <w:sz w:val="24"/>
          <w:szCs w:val="24"/>
          <w:u w:val="none"/>
          <w:shd w:val="clear" w:fill="FFFFFF"/>
        </w:rPr>
        <w:fldChar w:fldCharType="end"/>
      </w:r>
      <w:r>
        <w:rPr>
          <w:rFonts w:hint="eastAsia" w:ascii="微软雅黑" w:hAnsi="微软雅黑" w:eastAsia="微软雅黑" w:cs="微软雅黑"/>
          <w:i w:val="0"/>
          <w:color w:val="868686"/>
          <w:sz w:val="24"/>
          <w:szCs w:val="24"/>
          <w:shd w:val="clear" w:fill="FFFFFF"/>
        </w:rPr>
        <w:t xml:space="preserve">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333333"/>
          <w:sz w:val="24"/>
          <w:szCs w:val="24"/>
        </w:rPr>
      </w:pPr>
    </w:p>
    <w:p>
      <w:pPr>
        <w:pStyle w:val="3"/>
        <w:keepNext w:val="0"/>
        <w:keepLines w:val="0"/>
        <w:widowControl/>
        <w:suppressLineNumbers w:val="0"/>
        <w:spacing w:before="76" w:beforeAutospacing="0" w:after="0" w:afterAutospacing="0"/>
        <w:ind w:left="0" w:right="0"/>
      </w:pPr>
      <w:r>
        <w:rPr>
          <w:rFonts w:hint="eastAsia" w:ascii="微软雅黑" w:hAnsi="微软雅黑" w:eastAsia="微软雅黑" w:cs="微软雅黑"/>
          <w:color w:val="333333"/>
          <w:sz w:val="24"/>
          <w:szCs w:val="24"/>
          <w:bdr w:val="none" w:color="auto" w:sz="0" w:space="0"/>
          <w:shd w:val="clear" w:fill="FFFFFF"/>
        </w:rPr>
        <w:t>　　违规吃请、收送节礼、公车私用、乱发津补贴等“四风”问题，是易发多发“节日病”。国庆假期又至，为坚决遏制“四风”顽症，确保节日风清气正、欢乐祥和，现将6起今年查处的违反中央八项规定精神典型问题警示通报如下：</w:t>
      </w:r>
    </w:p>
    <w:p>
      <w:pPr>
        <w:pStyle w:val="3"/>
        <w:keepNext w:val="0"/>
        <w:keepLines w:val="0"/>
        <w:widowControl/>
        <w:suppressLineNumbers w:val="0"/>
        <w:spacing w:before="76" w:beforeAutospacing="0" w:after="0" w:afterAutospacing="0"/>
        <w:ind w:left="0" w:right="0"/>
      </w:pPr>
      <w:r>
        <w:rPr>
          <w:rFonts w:hint="eastAsia" w:ascii="微软雅黑" w:hAnsi="微软雅黑" w:eastAsia="微软雅黑" w:cs="微软雅黑"/>
          <w:color w:val="333333"/>
          <w:sz w:val="24"/>
          <w:szCs w:val="24"/>
          <w:bdr w:val="none" w:color="auto" w:sz="0" w:space="0"/>
          <w:shd w:val="clear" w:fill="FFFFFF"/>
        </w:rPr>
        <w:t>　　</w:t>
      </w:r>
      <w:r>
        <w:rPr>
          <w:rStyle w:val="5"/>
          <w:rFonts w:hint="eastAsia" w:ascii="微软雅黑" w:hAnsi="微软雅黑" w:eastAsia="微软雅黑" w:cs="微软雅黑"/>
          <w:b/>
          <w:color w:val="333333"/>
          <w:sz w:val="24"/>
          <w:szCs w:val="24"/>
          <w:bdr w:val="none" w:color="auto" w:sz="0" w:space="0"/>
          <w:shd w:val="clear" w:fill="FFFFFF"/>
        </w:rPr>
        <w:t>盐城市亭湖区人民法院原党组副书记、副院长吴荣生违规接受吃请问题。</w:t>
      </w:r>
      <w:r>
        <w:rPr>
          <w:rFonts w:hint="eastAsia" w:ascii="微软雅黑" w:hAnsi="微软雅黑" w:eastAsia="微软雅黑" w:cs="微软雅黑"/>
          <w:color w:val="333333"/>
          <w:sz w:val="24"/>
          <w:szCs w:val="24"/>
          <w:bdr w:val="none" w:color="auto" w:sz="0" w:space="0"/>
          <w:shd w:val="clear" w:fill="FFFFFF"/>
        </w:rPr>
        <w:t>2018年3月，吴荣生假借信访值班名义，不参加区委学习贯彻党的十九大精神轮训班，与多名干警一起接受该院某工作人员吃请，在其家中聚餐饮酒，并造成严重不良影响。2018年4月，吴荣生受到党内严重警告处分，并调离法院系统改任非领导职务。其他相关责任人受到相应处理。</w:t>
      </w:r>
    </w:p>
    <w:p>
      <w:pPr>
        <w:pStyle w:val="3"/>
        <w:keepNext w:val="0"/>
        <w:keepLines w:val="0"/>
        <w:widowControl/>
        <w:suppressLineNumbers w:val="0"/>
        <w:spacing w:before="76" w:beforeAutospacing="0" w:after="0" w:afterAutospacing="0"/>
        <w:ind w:left="0" w:right="0"/>
      </w:pPr>
      <w:r>
        <w:rPr>
          <w:rFonts w:hint="eastAsia" w:ascii="微软雅黑" w:hAnsi="微软雅黑" w:eastAsia="微软雅黑" w:cs="微软雅黑"/>
          <w:color w:val="333333"/>
          <w:sz w:val="24"/>
          <w:szCs w:val="24"/>
          <w:bdr w:val="none" w:color="auto" w:sz="0" w:space="0"/>
          <w:shd w:val="clear" w:fill="FFFFFF"/>
        </w:rPr>
        <w:t>　　</w:t>
      </w:r>
      <w:r>
        <w:rPr>
          <w:rStyle w:val="5"/>
          <w:rFonts w:hint="eastAsia" w:ascii="微软雅黑" w:hAnsi="微软雅黑" w:eastAsia="微软雅黑" w:cs="微软雅黑"/>
          <w:b/>
          <w:color w:val="333333"/>
          <w:sz w:val="24"/>
          <w:szCs w:val="24"/>
          <w:bdr w:val="none" w:color="auto" w:sz="0" w:space="0"/>
          <w:shd w:val="clear" w:fill="FFFFFF"/>
        </w:rPr>
        <w:t>常州生命健康建设发展有限公司党支部书记、董事长、总经理周洁违规公款购买赠送礼品、公款吃喝等问题。</w:t>
      </w:r>
      <w:r>
        <w:rPr>
          <w:rFonts w:hint="eastAsia" w:ascii="微软雅黑" w:hAnsi="微软雅黑" w:eastAsia="微软雅黑" w:cs="微软雅黑"/>
          <w:color w:val="333333"/>
          <w:sz w:val="24"/>
          <w:szCs w:val="24"/>
          <w:bdr w:val="none" w:color="auto" w:sz="0" w:space="0"/>
          <w:shd w:val="clear" w:fill="FFFFFF"/>
        </w:rPr>
        <w:t>2017年中秋节前，经周洁同意，该公司违规用公款购买月饼并作为节礼赠送。2017年7月至2018年4月，周洁多次安排下属公款购买高档香烟用于吃喝招待，并多次在公司食堂违规组织聚餐。2018年7月，周洁受到党内严重警告处分。</w:t>
      </w:r>
    </w:p>
    <w:p>
      <w:pPr>
        <w:pStyle w:val="3"/>
        <w:keepNext w:val="0"/>
        <w:keepLines w:val="0"/>
        <w:widowControl/>
        <w:suppressLineNumbers w:val="0"/>
        <w:spacing w:before="76" w:beforeAutospacing="0" w:after="0" w:afterAutospacing="0"/>
        <w:ind w:left="0" w:right="0"/>
      </w:pPr>
      <w:r>
        <w:rPr>
          <w:rFonts w:hint="eastAsia" w:ascii="微软雅黑" w:hAnsi="微软雅黑" w:eastAsia="微软雅黑" w:cs="微软雅黑"/>
          <w:color w:val="333333"/>
          <w:sz w:val="24"/>
          <w:szCs w:val="24"/>
          <w:bdr w:val="none" w:color="auto" w:sz="0" w:space="0"/>
          <w:shd w:val="clear" w:fill="FFFFFF"/>
        </w:rPr>
        <w:t>　　</w:t>
      </w:r>
      <w:r>
        <w:rPr>
          <w:rStyle w:val="5"/>
          <w:rFonts w:hint="eastAsia" w:ascii="微软雅黑" w:hAnsi="微软雅黑" w:eastAsia="微软雅黑" w:cs="微软雅黑"/>
          <w:b/>
          <w:color w:val="333333"/>
          <w:sz w:val="24"/>
          <w:szCs w:val="24"/>
          <w:bdr w:val="none" w:color="auto" w:sz="0" w:space="0"/>
          <w:shd w:val="clear" w:fill="FFFFFF"/>
        </w:rPr>
        <w:t>江阴市环保局青阳分局原局长赵健良违规收受礼金礼品和接受管理服务对象安排的宴请、旅游问题。</w:t>
      </w:r>
      <w:r>
        <w:rPr>
          <w:rFonts w:hint="eastAsia" w:ascii="微软雅黑" w:hAnsi="微软雅黑" w:eastAsia="微软雅黑" w:cs="微软雅黑"/>
          <w:color w:val="333333"/>
          <w:sz w:val="24"/>
          <w:szCs w:val="24"/>
          <w:bdr w:val="none" w:color="auto" w:sz="0" w:space="0"/>
          <w:shd w:val="clear" w:fill="FFFFFF"/>
        </w:rPr>
        <w:t>2014年2月至2018年6月，赵健良先后5次收受管理服务对象所送的礼金共计人民币2.2万元，1次接受管理服务对象安排的旅游活动，2次接受管理服务对象宴请并收受香烟。2018年8月，赵健良受到撤销党内职务、政务撤职处分。</w:t>
      </w:r>
    </w:p>
    <w:p>
      <w:pPr>
        <w:pStyle w:val="3"/>
        <w:keepNext w:val="0"/>
        <w:keepLines w:val="0"/>
        <w:widowControl/>
        <w:suppressLineNumbers w:val="0"/>
        <w:spacing w:before="76" w:beforeAutospacing="0" w:after="0" w:afterAutospacing="0"/>
        <w:ind w:left="0" w:right="0"/>
      </w:pPr>
      <w:r>
        <w:rPr>
          <w:rFonts w:hint="eastAsia" w:ascii="微软雅黑" w:hAnsi="微软雅黑" w:eastAsia="微软雅黑" w:cs="微软雅黑"/>
          <w:color w:val="333333"/>
          <w:sz w:val="24"/>
          <w:szCs w:val="24"/>
          <w:bdr w:val="none" w:color="auto" w:sz="0" w:space="0"/>
          <w:shd w:val="clear" w:fill="FFFFFF"/>
        </w:rPr>
        <w:t>　　</w:t>
      </w:r>
      <w:r>
        <w:rPr>
          <w:rStyle w:val="5"/>
          <w:rFonts w:hint="eastAsia" w:ascii="微软雅黑" w:hAnsi="微软雅黑" w:eastAsia="微软雅黑" w:cs="微软雅黑"/>
          <w:b/>
          <w:color w:val="333333"/>
          <w:sz w:val="24"/>
          <w:szCs w:val="24"/>
          <w:bdr w:val="none" w:color="auto" w:sz="0" w:space="0"/>
          <w:shd w:val="clear" w:fill="FFFFFF"/>
        </w:rPr>
        <w:t>张家港市公安局凤凰派出所所长缪峰私车公养、超标准使用办公用房问题。</w:t>
      </w:r>
      <w:r>
        <w:rPr>
          <w:rFonts w:hint="eastAsia" w:ascii="微软雅黑" w:hAnsi="微软雅黑" w:eastAsia="微软雅黑" w:cs="微软雅黑"/>
          <w:color w:val="333333"/>
          <w:sz w:val="24"/>
          <w:szCs w:val="24"/>
          <w:bdr w:val="none" w:color="auto" w:sz="0" w:space="0"/>
          <w:shd w:val="clear" w:fill="FFFFFF"/>
        </w:rPr>
        <w:t>2017年1月至2018年1月，缪峰先后97次使用单位加油卡为自己私家车加油，共计费用2.56万元；其办公室面积超过规定标准26.83平方米。2018年3月，缪峰受到党内严重警告处分。</w:t>
      </w:r>
    </w:p>
    <w:p>
      <w:pPr>
        <w:pStyle w:val="3"/>
        <w:keepNext w:val="0"/>
        <w:keepLines w:val="0"/>
        <w:widowControl/>
        <w:suppressLineNumbers w:val="0"/>
        <w:spacing w:before="76" w:beforeAutospacing="0" w:after="0" w:afterAutospacing="0"/>
        <w:ind w:left="0" w:right="0"/>
      </w:pPr>
      <w:r>
        <w:rPr>
          <w:rFonts w:hint="eastAsia" w:ascii="微软雅黑" w:hAnsi="微软雅黑" w:eastAsia="微软雅黑" w:cs="微软雅黑"/>
          <w:color w:val="333333"/>
          <w:sz w:val="24"/>
          <w:szCs w:val="24"/>
          <w:bdr w:val="none" w:color="auto" w:sz="0" w:space="0"/>
          <w:shd w:val="clear" w:fill="FFFFFF"/>
        </w:rPr>
        <w:t>　　</w:t>
      </w:r>
      <w:r>
        <w:rPr>
          <w:rStyle w:val="5"/>
          <w:rFonts w:hint="eastAsia" w:ascii="微软雅黑" w:hAnsi="微软雅黑" w:eastAsia="微软雅黑" w:cs="微软雅黑"/>
          <w:b/>
          <w:color w:val="333333"/>
          <w:sz w:val="24"/>
          <w:szCs w:val="24"/>
          <w:bdr w:val="none" w:color="auto" w:sz="0" w:space="0"/>
          <w:shd w:val="clear" w:fill="FFFFFF"/>
        </w:rPr>
        <w:t>徐州市泉山区绿化管理所所长张照辉违规公款购买烟酒、公款吃喝问题。</w:t>
      </w:r>
      <w:r>
        <w:rPr>
          <w:rFonts w:hint="eastAsia" w:ascii="微软雅黑" w:hAnsi="微软雅黑" w:eastAsia="微软雅黑" w:cs="微软雅黑"/>
          <w:color w:val="333333"/>
          <w:sz w:val="24"/>
          <w:szCs w:val="24"/>
          <w:bdr w:val="none" w:color="auto" w:sz="0" w:space="0"/>
          <w:shd w:val="clear" w:fill="FFFFFF"/>
        </w:rPr>
        <w:t>2017年6月至2018年1月，张照辉先后4次安排下属公款购买高档香烟、白酒供其个人使用，2次违规组织单位人员聚餐，上述费用以办公用品、加班用餐等名义报销。2018年4月，张照辉受到党内严重警告处分。</w:t>
      </w:r>
    </w:p>
    <w:p>
      <w:pPr>
        <w:pStyle w:val="3"/>
        <w:keepNext w:val="0"/>
        <w:keepLines w:val="0"/>
        <w:widowControl/>
        <w:suppressLineNumbers w:val="0"/>
        <w:spacing w:before="76" w:beforeAutospacing="0" w:after="0" w:afterAutospacing="0"/>
        <w:ind w:left="0" w:right="0"/>
      </w:pPr>
      <w:r>
        <w:rPr>
          <w:rFonts w:hint="eastAsia" w:ascii="微软雅黑" w:hAnsi="微软雅黑" w:eastAsia="微软雅黑" w:cs="微软雅黑"/>
          <w:color w:val="333333"/>
          <w:sz w:val="24"/>
          <w:szCs w:val="24"/>
          <w:bdr w:val="none" w:color="auto" w:sz="0" w:space="0"/>
          <w:shd w:val="clear" w:fill="FFFFFF"/>
        </w:rPr>
        <w:t>　　</w:t>
      </w:r>
      <w:r>
        <w:rPr>
          <w:rStyle w:val="5"/>
          <w:rFonts w:hint="eastAsia" w:ascii="微软雅黑" w:hAnsi="微软雅黑" w:eastAsia="微软雅黑" w:cs="微软雅黑"/>
          <w:b/>
          <w:color w:val="333333"/>
          <w:sz w:val="24"/>
          <w:szCs w:val="24"/>
          <w:bdr w:val="none" w:color="auto" w:sz="0" w:space="0"/>
          <w:shd w:val="clear" w:fill="FFFFFF"/>
        </w:rPr>
        <w:t>淮安市航道管理处党委书记、处长鲍立新违规发放津补贴问题。</w:t>
      </w:r>
      <w:r>
        <w:rPr>
          <w:rFonts w:hint="eastAsia" w:ascii="微软雅黑" w:hAnsi="微软雅黑" w:eastAsia="微软雅黑" w:cs="微软雅黑"/>
          <w:color w:val="333333"/>
          <w:sz w:val="24"/>
          <w:szCs w:val="24"/>
          <w:bdr w:val="none" w:color="auto" w:sz="0" w:space="0"/>
          <w:shd w:val="clear" w:fill="FFFFFF"/>
        </w:rPr>
        <w:t>2014年至2017年，由鲍立新决定，淮安市航道管理处通过自立名目、配套上级表彰等方式，以交通补助、加班费、考核奖等名义，多次违规发放津补贴。2018年5月，鲍立新受到党内严重警告处分。</w:t>
      </w:r>
    </w:p>
    <w:p>
      <w:pPr>
        <w:pStyle w:val="3"/>
        <w:keepNext w:val="0"/>
        <w:keepLines w:val="0"/>
        <w:widowControl/>
        <w:suppressLineNumbers w:val="0"/>
        <w:spacing w:before="76" w:beforeAutospacing="0" w:after="0" w:afterAutospacing="0"/>
        <w:ind w:left="0" w:right="0"/>
      </w:pPr>
      <w:r>
        <w:rPr>
          <w:rFonts w:hint="eastAsia" w:ascii="微软雅黑" w:hAnsi="微软雅黑" w:eastAsia="微软雅黑" w:cs="微软雅黑"/>
          <w:color w:val="333333"/>
          <w:sz w:val="24"/>
          <w:szCs w:val="24"/>
          <w:bdr w:val="none" w:color="auto" w:sz="0" w:space="0"/>
          <w:shd w:val="clear" w:fill="FFFFFF"/>
        </w:rPr>
        <w:t>　　上述6起问题，大多发生在节假日，甚至是今年的重要假期内，反映出在中央和省委三令五申高压态势下，仍有极少数党员干部无视中央八项规定精神，不收敛、不收手，或心存侥幸越规破纪，或明知故犯屡教不改，或自作聪明顶风违纪。广大党员干部特别是领导干部，一定要时刻警醒自己，严守纪律规定。</w:t>
      </w:r>
    </w:p>
    <w:p>
      <w:pPr>
        <w:pStyle w:val="3"/>
        <w:keepNext w:val="0"/>
        <w:keepLines w:val="0"/>
        <w:widowControl/>
        <w:suppressLineNumbers w:val="0"/>
        <w:spacing w:before="76" w:beforeAutospacing="0" w:after="0" w:afterAutospacing="0"/>
        <w:ind w:left="0" w:right="0"/>
      </w:pPr>
      <w:r>
        <w:rPr>
          <w:rFonts w:hint="eastAsia" w:ascii="微软雅黑" w:hAnsi="微软雅黑" w:eastAsia="微软雅黑" w:cs="微软雅黑"/>
          <w:color w:val="333333"/>
          <w:sz w:val="24"/>
          <w:szCs w:val="24"/>
          <w:bdr w:val="none" w:color="auto" w:sz="0" w:space="0"/>
          <w:shd w:val="clear" w:fill="FFFFFF"/>
        </w:rPr>
        <w:t>　　全省各级纪检监察机关要自觉落实纪委监委的监督职责，协助并推动党委（党组）充分履行主体责任，把深入整治“四风”、防治“节日病”作为一项政治任务，层层压实责任，对党员干部再提醒、再教育。要紧盯节日假期，创新监督举措，既深挖细查享乐主义、奢靡之风，又排查整治形式主义、官僚主义，不断提升节日假期正风肃纪的监督质效，让监督真正“长牙”“带电”。要坚持常抓不懈，一个节点一个节点抓下去，始终把违反中央八项规定精神问题作为监督执纪问责的重点，特别是对党的十九大后仍屡教不改的，一律从重处理，坚决通报曝光，持续形成震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02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1"/>
      <w:szCs w:val="21"/>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rPr>
      <w:b/>
    </w:rPr>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00"/>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styleId="13">
    <w:name w:val="HTML Keyboard"/>
    <w:basedOn w:val="4"/>
    <w:uiPriority w:val="0"/>
    <w:rPr>
      <w:rFonts w:ascii="Courier New" w:hAnsi="Courier New"/>
      <w:sz w:val="20"/>
    </w:rPr>
  </w:style>
  <w:style w:type="character" w:styleId="14">
    <w:name w:val="HTML Sample"/>
    <w:basedOn w:val="4"/>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彭彭</cp:lastModifiedBy>
  <dcterms:modified xsi:type="dcterms:W3CDTF">2018-12-04T05:47:22Z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